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IFPV (Bayern)</w:t>
      </w:r>
    </w:p>
    <w:p>
      <w:r>
        <w:rPr>
          <w:color w:val="555555"/>
          <w:sz w:val="18"/>
        </w:rPr>
        <w:t xml:space="preserve">Verordnung über das Staatsinstitut für Frühpädagogik und Medienkompetenz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Januar 2022</w:t>
      </w:r>
    </w:p>
    <w:p>
      <w:r>
        <w:t xml:space="preserve">Bayerisches Staatsministerium für Familie, Arbeit und Soziales</w:t>
      </w:r>
    </w:p>
    <w:p>
      <w:r>
        <w:t xml:space="preserve">Carolina Trautner, Staatsministerin</w:t>
      </w:r>
    </w:p>
    <w:p>
      <w:r>
        <w:rPr>
          <w:color w:val="555555"/>
          <w:sz w:val="17"/>
        </w:rPr>
        <w:t xml:space="preserve">Zitiervorschlag: Schlussformel IFPV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https://recht.nulegal.eu/gesetze/IFPV/schlussformel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