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IFPV (Bayern) — Inkrafttreten, Außerkrafttreten</w:t>
      </w:r>
    </w:p>
    <w:p>
      <w:r>
        <w:rPr>
          <w:color w:val="555555"/>
          <w:sz w:val="18"/>
        </w:rPr>
        <w:t xml:space="preserve">Verordnung über das Staatsinstitut für Frühpädagogik und Medienkompetenz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Februar 2022 in Kraft.</w:t>
      </w:r>
    </w:p>
    <w:p>
      <w:r>
        <w:t xml:space="preserve">(2) § 1 Satz 2 tritt mit Ablauf des 31. Dezember 2024 außer Kraft.</w:t>
      </w:r>
    </w:p>
    <w:p>
      <w:r>
        <w:t xml:space="preserve">(3) Mit Ablauf des 31. Januar 2022 tritt die Frühpädagogik-Institute-Verordnung (FpInstV) vom 6. Dezember 1985 (GVBl. S. 833, BayRS 2211-6-1-A), die zuletzt durch Verordnung vom 4. Juli 2018 (GVBl. S. 569) geändert worden ist, außer Kraft.</w:t>
      </w:r>
    </w:p>
    <w:p>
      <w:r>
        <w:rPr>
          <w:color w:val="555555"/>
          <w:sz w:val="17"/>
        </w:rPr>
        <w:t xml:space="preserve">Zitiervorschlag: § 4 IFPV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https://recht.nulegal.eu/gesetze/IFPV/4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