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IFGGebV</w:t>
      </w:r>
    </w:p>
    <w:p>
      <w:r>
        <w:rPr>
          <w:color w:val="555555"/>
          <w:sz w:val="18"/>
        </w:rPr>
        <w:t xml:space="preserve">Informationsgebührenverordnung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10 Abs. 3 des Informationsfreiheitsgesetzes vom 5. September 2005 (BGBl. I S. 2722) in Verbindung mit dem 2. Abschnitt des Verwaltungskostengesetzes vom 23. Juni 1970 (BGBl. I S. 821) verordnet das Bundesministerium des Innern:</w:t>
      </w:r>
    </w:p>
    <w:p>
      <w:r>
        <w:rPr>
          <w:color w:val="555555"/>
          <w:sz w:val="17"/>
        </w:rPr>
        <w:t xml:space="preserve">Zitiervorschlag: Eingangsformel IFGGebV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https://recht.nulegal.eu/gesetze/IFGGebV/eingangsformel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