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IFG — Schutz personenbezogener Daten</w:t>
      </w:r>
    </w:p>
    <w:p>
      <w:r>
        <w:rPr>
          <w:color w:val="555555"/>
          <w:sz w:val="18"/>
        </w:rPr>
        <w:t xml:space="preserve">Informationsfreiheitsgesetz</w:t>
      </w:r>
    </w:p>
    <w:p>
      <w:r>
        <w:rPr>
          <w:color w:val="555555"/>
          <w:sz w:val="18"/>
        </w:rPr>
        <w:t xml:space="preserve">Stand: 02.12.2019 (konsolidierte Textfassung, kein amtliches Inkrafttretensdatum)</w:t>
      </w:r>
    </w:p>
    <w:p>
      <w:r>
        <w:t xml:space="preserve">(1) Zugang zu personenbezogenen Daten darf nur gewährt werden, soweit das Informationsinteresse des Antragstellers das schutzwürdige Interesse des Dritten am Ausschluss des Informationszugangs überwiegt oder der Dritte eingewilligt hat. Besondere Kategorien personenbezogener Daten im Sinne des Artikels 9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dürfen nur übermittelt werden, wenn der Dritte ausdrücklich eingewilligt hat.</w:t>
      </w:r>
    </w:p>
    <w:p>
      <w:r>
        <w:t xml:space="preserve">(2) Das Informationsinteresse des Antragstellers überwiegt nicht bei Informationen aus Unterlagen, soweit sie mit dem Dienst- oder Amtsverhältnis oder einem Mandat des Dritten in Zusammenhang stehen und bei Informationen, die einem Berufs- oder Amtsgeheimnis unterliegen.</w:t>
      </w:r>
    </w:p>
    <w:p>
      <w:r>
        <w:t xml:space="preserve">(3) Das Informationsinteresse des Antragstellers überwiegt das schutzwürdige Interesse des Dritten am Ausschluss des Informationszugangs in der Regel dann, wenn sich die Angabe auf Name, Titel, akademischen Grad, Berufs- und Funktionsbezeichnung, Büroanschrift und -telekommunikationsnummer beschränkt und der Dritte als Gutachter, Sachverständiger oder in vergleichbarer Weise eine Stellungnahme in einem Verfahren abgegeben hat.</w:t>
      </w:r>
    </w:p>
    <w:p>
      <w:r>
        <w:t xml:space="preserve">(4) Name, Titel, akademischer Grad, Berufs- und Funktionsbezeichnung, Büroanschrift und -telekommunikationsnummer von Bearbeitern sind vom Informationszugang nicht ausgeschlossen, soweit sie Ausdruck und Folge der amtlichen Tätigkeit sind und kein Ausnahmetatbestand erfüllt ist.</w:t>
      </w:r>
    </w:p>
    <w:p>
      <w:r>
        <w:rPr>
          <w:color w:val="555555"/>
          <w:sz w:val="17"/>
        </w:rPr>
        <w:t xml:space="preserve">Zitiervorschlag: § 5 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