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IFG — Begriffsbestimmungen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ist</w:t>
      </w:r>
    </w:p>
    <w:p>
      <w:pPr>
        <w:ind w:left="420"/>
      </w:pPr>
      <w:r>
        <w:t xml:space="preserve">1. amtliche Information: jede amtlichen Zwecken dienende Aufzeichnung, unabhängig von der Art ihrer Speicherung. Entwürfe und Notizen, die nicht Bestandteil eines Vorgangs werden sollen, gehören nicht dazu;</w:t>
      </w:r>
    </w:p>
    <w:p>
      <w:pPr>
        <w:ind w:left="420"/>
      </w:pPr>
      <w:r>
        <w:t xml:space="preserve">2. Dritter: jeder, über den personenbezogene Daten oder sonstige Informationen vorliegen.</w:t>
      </w:r>
    </w:p>
    <w:p>
      <w:r>
        <w:rPr>
          <w:color w:val="555555"/>
          <w:sz w:val="17"/>
        </w:rPr>
        <w:t xml:space="preserve">Zitiervorschlag: § 2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