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IFG — Veröffentlichungspflichten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Behörden sollen Verzeichnisse führen, aus denen sich die vorhandenen Informationssammlungen und -zwecke erkennen lassen.</w:t>
      </w:r>
    </w:p>
    <w:p>
      <w:r>
        <w:t xml:space="preserve">(2) Organisations- und Aktenpläne ohne Angabe personenbezogener Daten sind nach Maßgabe dieses Gesetzes allgemein zugänglich zu machen.</w:t>
      </w:r>
    </w:p>
    <w:p>
      <w:r>
        <w:t xml:space="preserve">(3) Die Behörden sollen die in den Absätzen 1 und 2 genannten Pläne und Verzeichnisse sowie weitere geeignete Informationen in elektronischer Form allgemein zugänglich machen.</w:t>
      </w:r>
    </w:p>
    <w:p>
      <w:r>
        <w:rPr>
          <w:color w:val="555555"/>
          <w:sz w:val="17"/>
        </w:rPr>
        <w:t xml:space="preserve">Zitiervorschlag: § 11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