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IFG — Gebühren und Auslagen</w:t>
      </w:r>
    </w:p>
    <w:p>
      <w:r>
        <w:rPr>
          <w:color w:val="555555"/>
          <w:sz w:val="18"/>
        </w:rPr>
        <w:t xml:space="preserve">Informationsfreiheitsgesetz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Für individuell zurechenbare öffentliche Leistungen nach diesem Gesetz werden Gebühren und Auslagen erhoben. Dies gilt nicht für die Erteilung einfacher Auskünfte.</w:t>
      </w:r>
    </w:p>
    <w:p>
      <w:r>
        <w:t xml:space="preserve">(2) Die Gebühren sind auch unter Berücksichtigung des Verwaltungsaufwandes so zu bemessen, dass der Informationszugang nach § 1 wirksam in Anspruch genommen werden kann.</w:t>
      </w:r>
    </w:p>
    <w:p>
      <w:r>
        <w:t xml:space="preserve">(3) Das Bundesministerium des Innern, für Bau und Heimat wird ermächtigt, für individuell zurechenbare öffentliche Leistungen nach diesem Gesetz die Gebührentatbestände und Gebührensätze durch Rechtsverordnung ohne Zustimmung des Bundesrates zu bestimmen. § 10 des Bundesgebührengesetzes findet keine Anwendung.</w:t>
      </w:r>
    </w:p>
    <w:p>
      <w:r>
        <w:rPr>
          <w:color w:val="555555"/>
          <w:sz w:val="17"/>
        </w:rPr>
        <w:t xml:space="preserve">Zitiervorschlag: § 10 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