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IFG NRW (Nordrhein-Westfalen) — Veröffentlichungspflichten</w:t>
      </w:r>
    </w:p>
    <w:p>
      <w:r>
        <w:rPr>
          <w:color w:val="555555"/>
          <w:sz w:val="18"/>
        </w:rPr>
        <w:t xml:space="preserve">Informationsfreiheitsgesetz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Geschäftsverteilungspläne, Organigramme und Aktenpläne sind nach Maßgabe dieses Gesetzes allgemein zugänglich zu machen. Die öffentlichen Stellen sollen Verzeichnisse führen, aus denen sich die vorhandenen Informationssammlungen und -zwecke erkennen lassen. Soweit möglich hat die Veröffentlichung elektronisch zu erfolgen. § 4 Abs. 2 Satz 1 dieses Gesetzes bleibt unberührt.</w:t>
      </w:r>
    </w:p>
    <w:p>
      <w:r>
        <w:rPr>
          <w:color w:val="555555"/>
          <w:sz w:val="17"/>
        </w:rPr>
        <w:t xml:space="preserve">Zitiervorschlag: § 12 IFG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https://recht.nulegal.eu/gesetze/IFG%20NRW/12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