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IFCAbkG</w:t>
      </w:r>
    </w:p>
    <w:p>
      <w:r>
        <w:rPr>
          <w:color w:val="555555"/>
          <w:sz w:val="18"/>
        </w:rPr>
        <w:t xml:space="preserve">Gesetz betreffend das Abkommen über die Internationale Finanz-Corporation und betreffend Gouverneure und Direktoren in der Internationalen Bank für Wiederaufbau und Entwicklung sowie in der Internationalen Finanz-Corporation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Bank deutscher Länder wird ermächtigt, gemäß Artikel IV Abschnitt 9 des Abkommens als Hinterlegungsstelle für die Internationale Finanz-Corporation tätig zu sein.</w:t>
      </w:r>
    </w:p>
    <w:p>
      <w:r>
        <w:t xml:space="preserve">(2) Der Bundesminister für wirtschaftliche Zusammenarbeit führt den Geschäftsverkehr der Bundesrepublik Deutschland mit der Internationalen Finanz-Corporation gemäß Artikel IV Abschnitt 10 des Abkommens.</w:t>
      </w:r>
    </w:p>
    <w:p>
      <w:r>
        <w:rPr>
          <w:color w:val="555555"/>
          <w:sz w:val="17"/>
        </w:rPr>
        <w:t xml:space="preserve">Zitiervorschlag: Art 2 IFCAbkG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https://recht.nulegal.eu/gesetze/IFCAbkG/2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