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IDNrG — Automatisierter Datenabruf bei der Registermodernisierungsbehörde</w:t>
      </w:r>
    </w:p>
    <w:p>
      <w:r>
        <w:rPr>
          <w:color w:val="555555"/>
          <w:sz w:val="18"/>
        </w:rPr>
        <w:t xml:space="preserve">Identifikationsnummerngesetz</w:t>
      </w:r>
    </w:p>
    <w:p>
      <w:r>
        <w:rPr>
          <w:color w:val="555555"/>
          <w:sz w:val="18"/>
        </w:rPr>
        <w:t xml:space="preserve">Stand: 24.07.2024 (konsolidierte Textfassung, kein amtliches Inkrafttretensdatum)</w:t>
      </w:r>
    </w:p>
    <w:p>
      <w:r>
        <w:t xml:space="preserve">(1) Registerführende Stellen rufen zur Erfüllung der Aufgaben nach § 2 die Daten nach § 4 Absatz 2 und 3 bei der Registermodernisierungsbehörde ab, es sei denn, dass der Abruf bei der Meldebehörde erfolgt. Die registerführenden Stellen dürfen die abgerufenen Daten zur Erfüllung der Aufgaben nach § 2 Nummer 1 und 2 verarbeiten.</w:t>
      </w:r>
    </w:p>
    <w:p>
      <w:r>
        <w:t xml:space="preserve">(2) Die Daten nach § 4 Absatz 2 und 3 sollen von einer öffentlichen Stelle bei der Registermodernisierungsbehörde zum Zwecke der Erbringung von Verwaltungsleistungen nach dem Onlinezugangsgesetz abgerufen werden. Die Verarbeitung erfolgt nach Maßgabe der für die öffentliche Stelle jeweils anwendbaren Rechtsgrundlage.</w:t>
      </w:r>
    </w:p>
    <w:p>
      <w:r>
        <w:t xml:space="preserve">(3) Datenabrufe bei der Registermodernisierungsbehörde nach diesem Gesetz erfolgen ausschließlich im automatisierten Verfahren wie folgt:</w:t>
      </w:r>
    </w:p>
    <w:p>
      <w:pPr>
        <w:ind w:left="420"/>
      </w:pPr>
      <w:r>
        <w:t xml:space="preserve">1. Enthält das Datenabrufersuchen mindestens den Familiennamen, den Wohnort, die Postleitzahl sowie das Geburtsdatum der betroffenen Person, übermittelt die Registermodernisierungsbehörde der ersuchenden Stelle die Identifikationsnummer sowie die weiteren zur betroffenen Person gespeicherten Daten nach § 4 Absatz 2 und 3, soweit sie zur Erfüllung der Aufgaben der ersuchenden Stelle erforderlich sind.</w:t>
      </w:r>
    </w:p>
    <w:p>
      <w:pPr>
        <w:ind w:left="420"/>
      </w:pPr>
      <w:r>
        <w:t xml:space="preserve">2. Sofern ein Datenabrufersuchen nach Nummer 1 nicht veranlasst werden kann, weil Wohnort und Postleitzahl nicht vorliegen, kann ein Datenabrufersuchen durchgeführt werden, wenn das Datenabrufersuchen mindestens den Familiennamen, den Vornamen und das Geburtsdatum enthält.</w:t>
      </w:r>
    </w:p>
    <w:p>
      <w:pPr>
        <w:ind w:left="420"/>
      </w:pPr>
      <w:r>
        <w:t xml:space="preserve">3. Enthält das Datenabrufersuchen mindestens die Identifikationsnummer und das Geburtsdatum der betroffenen Person, übermittelt die Registermodernisierungsbehörde der ersuchenden Stelle die übrigen zur Person gespeicherten Daten nach § 4 Absatz 2 und 3, soweit sie zur Erfüllung der Aufgaben der ersuchenden Stelle erforderlich sind.</w:t>
      </w:r>
    </w:p>
    <w:p>
      <w:r>
        <w:t xml:space="preserve">(4) Daten dürfen von der Registermodernisierungsbehörde den ersuchenden Stellen nur übermittelt werden, wenn sichergestellt ist, dass die Voraussetzung zum Datenabruf vorliegt. Das Datenabrufersuchen darf keine Daten enthalten, die nicht in § 4 Absatz 2 bezeichnet sind. Ist eine eindeutige Identifizierung der betroffenen Person nicht möglich, teilt die Registermodernisierungsbehörde dies der ersuchenden Stelle mit und übermittelt keine Daten nach § 4 Absatz 2 und 3.</w:t>
      </w:r>
    </w:p>
    <w:p>
      <w:r>
        <w:t xml:space="preserve">(5) Liegt zu Daten einer Person eine Auskunftssperre nach dem Bundesmeldegesetz vor, übermittelt die Registermodernisierungsbehörde an registerführende Stellen die Daten ausschließlich im Rahmen der erstmaligen Datenübermittlung der Identifikationsnummer nach Absatz 1 in Verbindung mit § 2 Nummer 1 und 2. Bei Abrufen zur Aktualisierung und übrigen Abrufen erhält die abrufende öffentliche Stelle von der Registermodernisierungsbehörde eine Mitteilung, die keine Rückschlüsse darauf zulassen darf, ob zu der betroffenen Person keine Daten vorhanden sind oder ob eine Auskunftssperre besteht.</w:t>
      </w:r>
    </w:p>
    <w:p>
      <w:r>
        <w:rPr>
          <w:color w:val="555555"/>
          <w:sz w:val="17"/>
        </w:rPr>
        <w:t xml:space="preserve">Zitiervorschlag: § 6 IDNrG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https://recht.nulegal.eu/gesetze/IDNrG/6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