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IDNrG — Zweck und Vergabe der Identifikationsnummer</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(1) Die Identifikationsnummer dient im Rahmen dieses Gesetzes</w:t>
      </w:r>
    </w:p>
    <w:p>
      <w:pPr>
        <w:ind w:left="420"/>
      </w:pPr>
      <w:r>
        <w:t xml:space="preserve">1. der Zuordnung der Datensätze zu einer Person sowie</w:t>
      </w:r>
    </w:p>
    <w:p>
      <w:pPr>
        <w:ind w:left="420"/>
      </w:pPr>
      <w:r>
        <w:t xml:space="preserve">2. dem Abgleich von Datensätzen einer natürlichen Person, die den Datenkategorien in § 4 Absatz 2 und 3 entsprechen, in verschiedenen Registern untereinander, soweit eine andere gesetzliche Vorschrift dies erlaubt.</w:t>
      </w:r>
    </w:p>
    <w:p>
      <w:r>
        <w:t xml:space="preserve">Die Verarbeitung der Identifikationsnummer nach diesem Gesetz durch öffentliche und nicht-öffentliche Stellen zu anderen Zwecken ist außer zu Verarbeitungen zur Erbringung von Verwaltungsleistungen nach dem Onlinezugangsgesetz auf Grund von Rechtsvorschriften oder mit Einwilligung der betroffenen Person sowie zum Zwecke eines registerbasierten Zensus unzulässig. Die Verarbeitung der Identifikationsnummer nach § 139b der Abgabenordnung bleibt unberührt.</w:t>
      </w:r>
    </w:p>
    <w:p>
      <w:r>
        <w:t xml:space="preserve">(2) Hinsichtlich der Vergabe der Identifikationsnummer durch das Bundeszentralamt für Steuern gilt § 139b der Abgabenordnung in Verbindung mit der Steueridentifikationsnummerverordnung.</w:t>
      </w:r>
    </w:p>
    <w:p>
      <w:r>
        <w:t xml:space="preserve">(3) Die Registermodernisierungsbehörde stellt sicher, dass bei einer Verarbeitung der Identifikationsnummer für Datenübermittlungen an die Registermodernisierungsbehörde oder bei Datenabrufen von der Registermodernisierungsbehörde fehlerhafte Angaben der Identifikationsnummer erkannt werden und in solchen Fällen keine weitere Datenverarbeitung erfolgt.</w:t>
      </w:r>
    </w:p>
    <w:p>
      <w:r>
        <w:rPr>
          <w:color w:val="555555"/>
          <w:sz w:val="17"/>
        </w:rPr>
        <w:t xml:space="preserve">Zitiervorschlag: § 5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