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IDNrG — Zu einer Person gespeicherte Daten</w:t>
      </w:r>
    </w:p>
    <w:p>
      <w:r>
        <w:rPr>
          <w:color w:val="555555"/>
          <w:sz w:val="18"/>
        </w:rPr>
        <w:t xml:space="preserve">Identifikationsnummerngesetz</w:t>
      </w:r>
    </w:p>
    <w:p>
      <w:r>
        <w:rPr>
          <w:color w:val="555555"/>
          <w:sz w:val="18"/>
        </w:rPr>
        <w:t xml:space="preserve">Stand: 01.09.2023 (konsolidierte Textfassung, kein amtliches Inkrafttretensdatum)</w:t>
      </w:r>
    </w:p>
    <w:p>
      <w:r>
        <w:t xml:space="preserve">(1) Die Daten nach den Absätzen 2 und 3 einer natürlichen Person werden vom Bundeszentralamt für Steuern gespeichert, wenn diese Person eine Identifikationsnummer nach § 139b der Abgabenordnung erhalten hat.</w:t>
      </w:r>
    </w:p>
    <w:p>
      <w:r>
        <w:t xml:space="preserve">(2) Die zur Identifizierung einer natürlichen Person erforderlichen personenbezogenen Daten sind die Basisdaten. Einer natürlichen Person werden folgende Daten als Basisdaten zugeordnet:</w:t>
      </w:r>
    </w:p>
    <w:p>
      <w:pPr>
        <w:ind w:left="420"/>
      </w:pPr>
      <w:r>
        <w:t xml:space="preserve">1. Identifikationsnummer,</w:t>
      </w:r>
    </w:p>
    <w:p>
      <w:pPr>
        <w:ind w:left="420"/>
      </w:pPr>
      <w:r>
        <w:t xml:space="preserve">2. Familienname,</w:t>
      </w:r>
    </w:p>
    <w:p>
      <w:pPr>
        <w:ind w:left="420"/>
      </w:pPr>
      <w:r>
        <w:t xml:space="preserve">3. frühere Namen,</w:t>
      </w:r>
    </w:p>
    <w:p>
      <w:pPr>
        <w:ind w:left="420"/>
      </w:pPr>
      <w:r>
        <w:t xml:space="preserve">4. Vornamen,</w:t>
      </w:r>
    </w:p>
    <w:p>
      <w:pPr>
        <w:ind w:left="420"/>
      </w:pPr>
      <w:r>
        <w:t xml:space="preserve">5. Doktorgrad,</w:t>
      </w:r>
    </w:p>
    <w:p>
      <w:pPr>
        <w:ind w:left="420"/>
      </w:pPr>
      <w:r>
        <w:t xml:space="preserve">6. Tag und Ort der Geburt,</w:t>
      </w:r>
    </w:p>
    <w:p>
      <w:pPr>
        <w:ind w:left="420"/>
      </w:pPr>
      <w:r>
        <w:t xml:space="preserve">7. Geschlecht,</w:t>
      </w:r>
    </w:p>
    <w:p>
      <w:pPr>
        <w:ind w:left="420"/>
      </w:pPr>
      <w:r>
        <w:t xml:space="preserve">8. Staatsangehörigkeiten,</w:t>
      </w:r>
    </w:p>
    <w:p>
      <w:pPr>
        <w:ind w:left="420"/>
      </w:pPr>
      <w:r>
        <w:t xml:space="preserve">9. gegenwärtige oder letzte bekannte Anschrift,</w:t>
      </w:r>
    </w:p>
    <w:p>
      <w:pPr>
        <w:ind w:left="420"/>
      </w:pPr>
      <w:r>
        <w:t xml:space="preserve">10. Sterbetag sowie</w:t>
      </w:r>
    </w:p>
    <w:p>
      <w:pPr>
        <w:ind w:left="420"/>
      </w:pPr>
      <w:r>
        <w:t xml:space="preserve">11. Tag des Einzugs und des Auszugs.</w:t>
      </w:r>
    </w:p>
    <w:p>
      <w:r>
        <w:t xml:space="preserve">(3) Einer natürlichen Person werden zudem folgende weitere Daten zugeordnet:</w:t>
      </w:r>
    </w:p>
    <w:p>
      <w:pPr>
        <w:ind w:left="420"/>
      </w:pPr>
      <w:r>
        <w:t xml:space="preserve">1. Auskunftssperren nach dem Bundesmeldegesetz sowie</w:t>
      </w:r>
    </w:p>
    <w:p>
      <w:pPr>
        <w:ind w:left="420"/>
      </w:pPr>
      <w:r>
        <w:t xml:space="preserve">2. Datum des letzten Verwaltungskontakts (Monat, Jahr).</w:t>
      </w:r>
    </w:p>
    <w:p>
      <w:r>
        <w:t xml:space="preserve">(4) Das Datum nach Absatz 3 Nummer 2 wird der Registermodernisierungsbehörde von gesetzlich bestimmten Registern bei Vorliegen eines Verwaltungskontakts automatisiert übermittelt und an das Bundeszentralamt für Steuern weitergeleitet.</w:t>
      </w:r>
    </w:p>
    <w:p>
      <w:r>
        <w:rPr>
          <w:color w:val="555555"/>
          <w:sz w:val="17"/>
        </w:rPr>
        <w:t xml:space="preserve">Zitiervorschlag: § 4 IDNrG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https://recht.nulegal.eu/gesetze/IDNrG/4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