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IDNrG — Einrichtung und Aufgaben der Registermodernisierungsbehörde</w:t>
      </w:r>
    </w:p>
    <w:p>
      <w:r>
        <w:rPr>
          <w:color w:val="555555"/>
          <w:sz w:val="18"/>
        </w:rPr>
        <w:t xml:space="preserve">Identifikationsnummerngesetz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Die Registermodernisierungsbehörde hat folgende Aufgaben:</w:t>
      </w:r>
    </w:p>
    <w:p>
      <w:pPr>
        <w:ind w:left="420"/>
      </w:pPr>
      <w:r>
        <w:t xml:space="preserve">1. Erstellen einer Übersicht über bestehende Register,</w:t>
      </w:r>
    </w:p>
    <w:p>
      <w:pPr>
        <w:ind w:left="420"/>
      </w:pPr>
      <w:r>
        <w:t xml:space="preserve">2. Übermittlung der Identifikationsnummer sowie der übrigen Daten nach § 4 Absatz 2 und 3 an</w:t>
      </w:r>
    </w:p>
    <w:p>
      <w:pPr>
        <w:ind w:left="780"/>
      </w:pPr>
      <w:r>
        <w:t xml:space="preserve">a) registerführende Stellen in Bund und Ländern zur Erfüllung der Aufgaben nach § 2 sowie</w:t>
      </w:r>
    </w:p>
    <w:p>
      <w:pPr>
        <w:ind w:left="780"/>
      </w:pPr>
      <w:r>
        <w:t xml:space="preserve">b) öffentliche Stellen nach § 6 Absatz 2,</w:t>
      </w:r>
    </w:p>
    <w:p>
      <w:pPr>
        <w:ind w:left="420"/>
      </w:pPr>
      <w:r>
        <w:t xml:space="preserve">3. übergeordnete Steuerung</w:t>
      </w:r>
    </w:p>
    <w:p>
      <w:pPr>
        <w:ind w:left="780"/>
      </w:pPr>
      <w:r>
        <w:t xml:space="preserve">a) der einzelnen Projekte zur Umsetzung dieses Gesetzes sowie</w:t>
      </w:r>
    </w:p>
    <w:p>
      <w:pPr>
        <w:ind w:left="780"/>
      </w:pPr>
      <w:r>
        <w:t xml:space="preserve">b) von registerübergreifenden Maßnahmen zur Verbesserung der Datenqualität.</w:t>
      </w:r>
    </w:p>
    <w:p>
      <w:r>
        <w:t xml:space="preserve">Das Bundesverwaltungsamt nimmt die Aufgaben der Registermodernisierungsbehörde wahr.</w:t>
      </w:r>
    </w:p>
    <w:p>
      <w:r>
        <w:t xml:space="preserve">(2) Die Registermodernisierungsbehörde darf zur Aufgabenerfüllung nach Maßgabe dieses Gesetzes sowie in entsprechender Anwendung von § 30 Absatz 6 und 11 der Abgabenordnung und der Steuerdaten-Abrufverordnung in der jeweils geltenden Fassung beim Bundeszentralamt für Steuern nach § 139b Absatz 3 Nummer 1, 3 bis 10 und 12 bis 16 der Abgabenordnung gespeicherte Daten im automatisierten Verfahren abrufen und an</w:t>
      </w:r>
    </w:p>
    <w:p>
      <w:pPr>
        <w:ind w:left="420"/>
      </w:pPr>
      <w:r>
        <w:t xml:space="preserve">1. registerführende Stellen zur Erfüllung der Aufgaben nach § 2 sowie</w:t>
      </w:r>
    </w:p>
    <w:p>
      <w:pPr>
        <w:ind w:left="420"/>
      </w:pPr>
      <w:r>
        <w:t xml:space="preserve">2. öffentliche Stellen zum Zwecke der Erbringung von Verwaltungsleistungen nach dem Onlinezugangsgesetz</w:t>
      </w:r>
    </w:p>
    <w:p>
      <w:r>
        <w:t xml:space="preserve">übermitteln. Die Erfüllung der sonstigen Aufgaben des Bundesverwaltungsamts bleibt unberührt.</w:t>
      </w:r>
    </w:p>
    <w:p>
      <w:r>
        <w:rPr>
          <w:color w:val="555555"/>
          <w:sz w:val="17"/>
        </w:rPr>
        <w:t xml:space="preserve">Zitiervorschlag: § 3 IDNrG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https://recht.nulegal.eu/gesetze/IDNrG/3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