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IDNrG — Strafvorschriften</w:t>
      </w:r>
    </w:p>
    <w:p>
      <w:r>
        <w:rPr>
          <w:color w:val="555555"/>
          <w:sz w:val="18"/>
        </w:rPr>
        <w:t xml:space="preserve">Identifikationsnummerngesetz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Mit Freiheitsstrafe bis zu einem Jahr oder mit Geldstrafe wird bestraft, wer die Identifikationsnummer</w:t>
      </w:r>
    </w:p>
    <w:p>
      <w:pPr>
        <w:ind w:left="420"/>
      </w:pPr>
      <w:r>
        <w:t xml:space="preserve">1. wissentlich, ohne hierzu berechtigt zu sein, erhebt, speichert, übermittelt oder verbreitet oder</w:t>
      </w:r>
    </w:p>
    <w:p>
      <w:pPr>
        <w:ind w:left="420"/>
      </w:pPr>
      <w:r>
        <w:t xml:space="preserve">2. ohne hierzu berechtigt zu sein, verwendet, um personenbezogene Daten, die nicht offenkundig sind, zu erheben, zu speichern oder zu übermitteln.</w:t>
      </w:r>
    </w:p>
    <w:p>
      <w:r>
        <w:t xml:space="preserve">(2) Die Tat wird nur auf Antrag verfolgt. Antragsberechtigt sind die betroffene Person, der Verantwortliche und die Datenschutzaufsichtsbehörden.</w:t>
      </w:r>
    </w:p>
    <w:p>
      <w:r>
        <w:rPr>
          <w:color w:val="555555"/>
          <w:sz w:val="17"/>
        </w:rPr>
        <w:t xml:space="preserve">Zitiervorschlag: § 17 IDNrG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https://recht.nulegal.eu/gesetze/IDNrG/17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