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IDNrG — Ausschluss abweichenden Landesrechts</w:t>
      </w:r>
    </w:p>
    <w:p>
      <w:r>
        <w:rPr>
          <w:color w:val="555555"/>
          <w:sz w:val="18"/>
        </w:rPr>
        <w:t xml:space="preserve">Identifikationsnummerngesetz</w:t>
      </w:r>
    </w:p>
    <w:p>
      <w:r>
        <w:rPr>
          <w:color w:val="555555"/>
          <w:sz w:val="18"/>
        </w:rPr>
        <w:t xml:space="preserve">Stand: 01.09.2023 (konsolidierte Textfassung, kein amtliches Inkrafttretensdatum)</w:t>
      </w:r>
    </w:p>
    <w:p>
      <w:r>
        <w:t xml:space="preserve">Von den in diesem Gesetz oder auf Grundlage dieses Gesetzes getroffenen Regelungen kann durch Landesrecht nicht abgewichen werden.</w:t>
      </w:r>
    </w:p>
    <w:p>
      <w:r>
        <w:rPr>
          <w:color w:val="555555"/>
          <w:sz w:val="17"/>
        </w:rPr>
        <w:t xml:space="preserve">Zitiervorschlag: § 15 IDNrG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https://recht.nulegal.eu/gesetze/IDNrG/15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