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IDNrG — Verhältnis zu anderen Vorschriften</w:t>
      </w:r>
    </w:p>
    <w:p>
      <w:r>
        <w:rPr>
          <w:color w:val="555555"/>
          <w:sz w:val="18"/>
        </w:rPr>
        <w:t xml:space="preserve">Identifikationsnummerngesetz</w:t>
      </w:r>
    </w:p>
    <w:p>
      <w:r>
        <w:rPr>
          <w:color w:val="555555"/>
          <w:sz w:val="18"/>
        </w:rPr>
        <w:t xml:space="preserve">Stand: 01.09.2023 (konsolidierte Textfassung, kein amtliches Inkrafttretensdatum)</w:t>
      </w:r>
    </w:p>
    <w:p>
      <w:r>
        <w:t xml:space="preserve">(1) Der Datenaustausch nach § 139b Absatz 6 bis 9 der Abgabenordnung bleibt unberührt.</w:t>
      </w:r>
    </w:p>
    <w:p>
      <w:r>
        <w:t xml:space="preserve">(2) Andere gesetzliche Vorschriften zur Verarbeitung personenbezogener Daten bleiben unberührt.</w:t>
      </w:r>
    </w:p>
    <w:p>
      <w:r>
        <w:rPr>
          <w:color w:val="555555"/>
          <w:sz w:val="17"/>
        </w:rPr>
        <w:t xml:space="preserve">Zitiervorschlag: § 14 IDNrG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https://recht.nulegal.eu/gesetze/IDNrG/14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