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IDNrG — Ziele des Gesetzes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 Identifikationsnummer nach § 139b der Abgabenordnung (Identifikationsnummer) wird als zusätzliches Ordnungsmerkmal in die sich aus der Anlage zu diesem Gesetz ergebenden Register des Bundes und der Länder eingeführt, um</w:t>
      </w:r>
    </w:p>
    <w:p>
      <w:pPr>
        <w:ind w:left="420"/>
      </w:pPr>
      <w:r>
        <w:t xml:space="preserve">1. Daten einer natürlichen Person in einem Verwaltungsverfahren eindeutig zuzuordnen,</w:t>
      </w:r>
    </w:p>
    <w:p>
      <w:pPr>
        <w:ind w:left="420"/>
      </w:pPr>
      <w:r>
        <w:t xml:space="preserve">2. die Datenqualität der zu einer natürlichen Person gespeicherten Daten zu verbessern sowie</w:t>
      </w:r>
    </w:p>
    <w:p>
      <w:pPr>
        <w:ind w:left="420"/>
      </w:pPr>
      <w:r>
        <w:t xml:space="preserve">3. die erneute Beibringung von bei öffentlichen Stellen bereits vorhandenen Daten durch die betroffene Person zu verringern.</w:t>
      </w:r>
    </w:p>
    <w:p>
      <w:r>
        <w:rPr>
          <w:color w:val="555555"/>
          <w:sz w:val="17"/>
        </w:rPr>
        <w:t xml:space="preserve">Zitiervorschlag: § 1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