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ID262809 (Brandenburg)</w:t>
      </w:r>
    </w:p>
    <w:p>
      <w:r>
        <w:rPr>
          <w:color w:val="555555"/>
          <w:sz w:val="18"/>
        </w:rPr>
        <w:t xml:space="preserve">Gesetz zum Staatsvertrag über private Medien in Berlin und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(1) Dieses Gesetz tritt am Tag nach der Verkündung in Kraft.</w:t>
      </w:r>
    </w:p>
    <w:p>
      <w:r>
        <w:t xml:space="preserve">(2) Der Tag, an dem der Staatsvertrag in Kraft tritt, ist im Gesetz- und Verordnungsblatt für das Land Brandenburg Teil I bekannt zu geben.</w:t>
      </w:r>
    </w:p>
    <w:p>
      <w:r>
        <w:t xml:space="preserve">Potsdam, den 23. April 2026</w:t>
      </w:r>
    </w:p>
    <w:p>
      <w:r>
        <w:t xml:space="preserve">Die Präsidentin</w:t>
      </w:r>
    </w:p>
    <w:p>
      <w:r>
        <w:t xml:space="preserve">des Landtages Brandenburg</w:t>
      </w:r>
    </w:p>
    <w:p>
      <w:r>
        <w:t xml:space="preserve">Dr. Ulrike Liedtke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3 ID262809 (Brandenburg)</w:t>
      </w:r>
    </w:p>
    <w:p>
      <w:r>
        <w:rPr>
          <w:color w:val="555555"/>
          <w:sz w:val="17"/>
        </w:rPr>
        <w:t xml:space="preserve">Quelle: bravors, abgerufen 01.09.2026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https://recht.nulegal.eu/gesetze/ID262809/3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