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ID257093 (Brandenburg) — Einschränkung eines Grundrechts</w:t>
      </w:r>
    </w:p>
    <w:p>
      <w:r>
        <w:rPr>
          <w:color w:val="555555"/>
          <w:sz w:val="18"/>
        </w:rPr>
        <w:t xml:space="preserve">Gesetz zu dem Abkommen über die Errichtung und Finanzierung der Akademie für Öffentliches Gesundheitswesen in Düsseldorf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01.09.2026 (konsolidierte Textfassung, kein amtliches Inkrafttretensdatum)</w:t>
      </w:r>
    </w:p>
    <w:p>
      <w:r>
        <w:t xml:space="preserve">Durch dieses Gesetz wird das Grundrecht auf Berufsfreiheit nach Artikel 49 Absatz 1 Satz 1 der Verfassung des Landes Brandenburg eingeschränkt.</w:t>
      </w:r>
    </w:p>
    <w:p>
      <w:r>
        <w:rPr>
          <w:color w:val="555555"/>
          <w:sz w:val="17"/>
        </w:rPr>
        <w:t xml:space="preserve">Zitiervorschlag: § 2 ID257093 (Brandenburg)</w:t>
      </w:r>
    </w:p>
    <w:p>
      <w:r>
        <w:rPr>
          <w:color w:val="555555"/>
          <w:sz w:val="17"/>
        </w:rPr>
        <w:t xml:space="preserve">Quelle: bravors, abgerufen 01.09.2026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https://recht.nulegal.eu/gesetze/ID257093/2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