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ID247524 (Brandenburg) — Verordnungsermächtigung</w:t>
      </w:r>
    </w:p>
    <w:p>
      <w:r>
        <w:rPr>
          <w:color w:val="555555"/>
          <w:sz w:val="18"/>
        </w:rPr>
        <w:t xml:space="preserve">Gesetz über den Mehrbelastungsausgleich für kommunale Straßenausbaumaßnahmen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Das für Straßenwesen zuständige Mitglied der Landesregierung wird ermächtigt, im Einvernehmen mit den für Inneres und für Finanzen zuständigen Mitgliedern der Landesregierung durch Rechtsverordnung zu dem nach Artikel 97 Absatz 3 Satz 2 und 3 der Verfassung des Landes Brandenburg gebotenen Ausgleich der Mehrbelastung der Gemeinden infolge des Erhebungsverbots für Straßenbaubeiträge nach § 8 Absatz 1 Satz 2 des Kommunalabgabengesetzes für das Land Brandenburg Regelungen zu treffen</w:t>
      </w:r>
    </w:p>
    <w:p>
      <w:r>
        <w:t xml:space="preserve">über die zuständige Stelle für die Prüfung und Gewährung des Mehrbelastungsausgleichs nach § 1,</w:t>
      </w:r>
    </w:p>
    <w:p>
      <w:r>
        <w:t xml:space="preserve">für den pauschalen Mehrbelastungsausgleich nach § 1 Absatz 1</w:t>
      </w:r>
    </w:p>
    <w:p>
      <w:r>
        <w:t xml:space="preserve">über den Einnahmeausfall aus Straßenbaubeiträgen,</w:t>
      </w:r>
    </w:p>
    <w:p>
      <w:r>
        <w:t xml:space="preserve">über die Höhe der pauschalen Zahlungen für den Mehrbelastungsausgleich und ihre jeweilige Anpassung an die Kostenentwicklung,</w:t>
      </w:r>
    </w:p>
    <w:p>
      <w:r>
        <w:t xml:space="preserve">für die Erstattung von Rückzahlungen nach § 1 Absatz 2</w:t>
      </w:r>
    </w:p>
    <w:p>
      <w:r>
        <w:t xml:space="preserve">über das Antrags- und Nachweisverfahren,</w:t>
      </w:r>
    </w:p>
    <w:p>
      <w:r>
        <w:t xml:space="preserve">über die Einbeziehung von Rückzahlungen von Beträgen, die aufgrund von Vereinbarungen zur Ablösung von Beiträgen für Maßnahmen im Sinne des § 20 Absatz 4 des Kommunalabgabengesetzes für das Land Brandenburg abgeschlossen wurden,</w:t>
      </w:r>
    </w:p>
    <w:p>
      <w:r>
        <w:t xml:space="preserve">für den Ausgleichsbetrag nach § 1 Absatz 3</w:t>
      </w:r>
    </w:p>
    <w:p>
      <w:r>
        <w:t xml:space="preserve">über das Antrags- und Nachweisverfahren,</w:t>
      </w:r>
    </w:p>
    <w:p>
      <w:r>
        <w:t xml:space="preserve">über die Berücksichtigung von pauschalen Mehrbelastungsausgleichen anderer Jahre,</w:t>
      </w:r>
    </w:p>
    <w:p>
      <w:r>
        <w:t xml:space="preserve">über die Auskunftspflichten der Gemeinden zur Ermittlung des pauschalen Mehrbelastungsausgleichs nach § 1 Absatz 1 und die Durchführung der Evaluierung nach § 1 Absatz 4.</w:t>
      </w:r>
    </w:p>
    <w:p>
      <w:r>
        <w:rPr>
          <w:color w:val="555555"/>
          <w:sz w:val="17"/>
        </w:rPr>
        <w:t xml:space="preserve">Zitiervorschlag: § 3 ID247524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https://recht.nulegal.eu/gesetze/ID247524/3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