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ID243443 (Brandenburg)</w:t>
      </w:r>
    </w:p>
    <w:p>
      <w:r>
        <w:rPr>
          <w:color w:val="555555"/>
          <w:sz w:val="18"/>
        </w:rPr>
        <w:t xml:space="preserve">Gesetz zu dem Abkommen über die Errichtung und Finanzierung der Akademie für öffentliches Gesundheitswesen in Düsseldorf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Einzelnorm</w:t>
      </w:r>
    </w:p>
    <w:p>
      <w:r>
        <w:t xml:space="preserve">Potsdam, den 28. November 2017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Abkommen</w:t>
      </w:r>
    </w:p>
    <w:p>
      <w:r>
        <w:t xml:space="preserve">Anlagen</w:t>
      </w:r>
    </w:p>
    <w:p>
      <w:r>
        <w:t xml:space="preserve">1</w:t>
      </w:r>
    </w:p>
    <w:p>
      <w:r>
        <w:t xml:space="preserve">Abkommen über die Errichtung und Finanzierung der Akademie für öffentliches Gesundheitswesen in Düsseldorf 689.7 KB</w:t>
      </w:r>
    </w:p>
    <w:p>
      <w:r>
        <w:rPr>
          <w:color w:val="555555"/>
          <w:sz w:val="17"/>
        </w:rPr>
        <w:t xml:space="preserve">Zitiervorschlag: § 2 ID243443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https://recht.nulegal.eu/gesetze/ID243443/2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