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ID212895 (Brandenburg) — Bergbaubedingte Umsiedlungen</w:t>
      </w:r>
    </w:p>
    <w:p>
      <w:r>
        <w:rPr>
          <w:color w:val="555555"/>
          <w:sz w:val="18"/>
        </w:rPr>
        <w:t xml:space="preserve">Gesetz zur Förderung der Braunkohle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unvermeidbare Inanspruchnahme von Siedlungen ist</w:t>
      </w:r>
    </w:p>
    <w:p>
      <w:r>
        <w:t xml:space="preserve">rechtzeitig gleichwertiger Ersatz anzubieten und zu gewährleisten. Es ist</w:t>
      </w:r>
    </w:p>
    <w:p>
      <w:r>
        <w:t xml:space="preserve">anzustreben, dörfliche Gemeinschaften und soziale Bindungen durch</w:t>
      </w:r>
    </w:p>
    <w:p>
      <w:r>
        <w:t xml:space="preserve">gemeinsame Umsiedlungen zu erhalten. Die Umsiedlung erfolgt auf Kosten des</w:t>
      </w:r>
    </w:p>
    <w:p>
      <w:r>
        <w:t xml:space="preserve">Bergbautreibenden.</w:t>
      </w:r>
    </w:p>
    <w:p>
      <w:r>
        <w:rPr>
          <w:color w:val="555555"/>
          <w:sz w:val="17"/>
        </w:rPr>
        <w:t xml:space="preserve">Zitiervorschlag: § 2 ID212895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https://recht.nulegal.eu/gesetze/ID212895/2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