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91 ID212792 (Brandenburg) — (Vertretungsbefugnis, Verträge)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Ministerpräsidentin oder der Ministerpräsident vertritt das Land nach außen. Sie oder er kann diese Befugnis auf ein anderes Mitglied der Landesregierung oder auf nachgeordnete Stellen übertragen.</w:t>
      </w:r>
    </w:p>
    <w:p>
      <w:r>
        <w:t xml:space="preserve">(2) Staatsverträge, insbesondere Verträge, die sich auf Gegenstände der Gesetzgebung beziehen oder Aufwendungen erfordern, für die Haushaltsmittel nicht vorgesehen sind, bedürfen der Zustimmung des Landtages.</w:t>
      </w:r>
    </w:p>
    <w:p>
      <w:r>
        <w:rPr>
          <w:color w:val="555555"/>
          <w:sz w:val="17"/>
        </w:rPr>
        <w:t xml:space="preserve">Zitiervorschlag: Art 91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