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86 ID212792 (Brandenburg) — (Konstruktives Misstrauensvotum)</w:t>
      </w:r>
    </w:p>
    <w:p>
      <w:r>
        <w:rPr>
          <w:color w:val="555555"/>
          <w:sz w:val="18"/>
        </w:rPr>
        <w:t xml:space="preserve">Verfassung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Landtag kann der Ministerpräsidentin oder dem Ministerpräsidenten das Misstrauen nur dadurch aussprechen, dass er mit den Stimmen der Mehrheit seiner Mitglieder eine andere Person in das Amt wählt.</w:t>
      </w:r>
    </w:p>
    <w:p>
      <w:r>
        <w:t xml:space="preserve">(2) Zwischen der Aussprache über den Antrag im Landtag und der Wahl müssen mindestens achtundvierzig Stunden liegen, höchstens jedoch sieben Tage.</w:t>
      </w:r>
    </w:p>
    <w:p>
      <w:r>
        <w:rPr>
          <w:color w:val="555555"/>
          <w:sz w:val="17"/>
        </w:rPr>
        <w:t xml:space="preserve">Zitiervorschlag: Art 86 ID212792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https://recht.nulegal.eu/gesetze/ID212792/86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