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83 ID212792 (Brandenburg) — (Wahl der Ministerpräsidentin oder des Ministerpräsidenten)</w:t>
      </w:r>
    </w:p>
    <w:p>
      <w:r>
        <w:rPr>
          <w:color w:val="555555"/>
          <w:sz w:val="18"/>
        </w:rPr>
        <w:t xml:space="preserve">Verfassung des Landes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Der Landtag wählt die Ministerpräsidentin oder den Ministerpräsidenten mit der Mehrheit seiner Mitglieder ohne Aussprache in geheimer Abstimmung. Vorschlagsberechtigt ist jedes Mitglied des Landtages.</w:t>
      </w:r>
    </w:p>
    <w:p>
      <w:r>
        <w:t xml:space="preserve">(2) Erhält im ersten Wahlgang keine der vorgeschlagenen Personen die Mehrheit, findet ein zweiter Wahlgang statt. Kommt die Wahl auch in diesem Wahlgang nicht zustande, so ist gewählt, wer in einem weiteren Wahlgang die meisten Stimmen erhält.</w:t>
      </w:r>
    </w:p>
    <w:p>
      <w:r>
        <w:t xml:space="preserve">(3) Kommt die Wahl innerhalb von drei Monaten nach der Konstituierung des Landtages nicht zustande, so gilt der Landtag als aufgelöst.</w:t>
      </w:r>
    </w:p>
    <w:p>
      <w:r>
        <w:rPr>
          <w:color w:val="555555"/>
          <w:sz w:val="17"/>
        </w:rPr>
        <w:t xml:space="preserve">Zitiervorschlag: Art 83 ID212792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https://recht.nulegal.eu/gesetze/ID212792/83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