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ID212792 (Brandenburg) — (Recht auf Leben)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Jeder Mensch hat das Recht auf Leben, Unversehrtheit und Achtung seiner Würde im Sterben. In die Rechte auf Leben und Unversehrtheit darf nur aufgrund eines Gesetzes eingegriffen werden.</w:t>
      </w:r>
    </w:p>
    <w:p>
      <w:r>
        <w:t xml:space="preserve">(2) Für den Schutz des ungeborenen Lebens ist insbesondere durch umfassende Aufklärung, kostenlose Beratung und soziale Hilfe zu sorgen.</w:t>
      </w:r>
    </w:p>
    <w:p>
      <w:r>
        <w:t xml:space="preserve">(3) Kein Mensch darf grausamer, unmenschlicher, erniedrigender Behandlung oder Strafe und ohne freiwillige und ausdrückliche Zustimmung medizinischen oder wissenschaftlichen Versuchen unterworfen werden.</w:t>
      </w:r>
    </w:p>
    <w:p>
      <w:r>
        <w:rPr>
          <w:color w:val="555555"/>
          <w:sz w:val="17"/>
        </w:rPr>
        <w:t xml:space="preserve">Zitiervorschlag: Art 8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