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ID212792 (Brandenburg) — (Volksentscheid)</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Entspricht der Landtag nicht binnen drei Monaten dem Volksbegehren, so findet innerhalb von weiteren vier Monaten ein Volksentscheid statt. Die Frist zwischen der Bekanntmachung des festgestellten Ergebnisses eines Volksbegehrens und dem Volksentscheid ist durch das Präsidium des Landtages auf bis zu zehn Monate zu verlängern, wenn dadurch der Volksentscheid gemeinsam mit einer landesweiten Wahl oder einem anderen Volksentscheid durchgeführt werden kann. Der Landtag kann einen konkurrierenden Gesetzentwurf oder eine sonstige Vorlage nach Artikel 76 mit zur Abstimmung stellen. Die Präsidentin oder der Präsident des Landtages hat die mit Gründen versehenen Gesetzentwürfe oder die anderen zur Abstimmung stehenden Vorlagen in angemessener Form zu veröffentlichen.</w:t>
      </w:r>
    </w:p>
    <w:p>
      <w:r>
        <w:t xml:space="preserve">(2) Ein Gesetzentwurf oder eine andere Vorlage nach Artikel 76 ist durch Volksentscheid angenommen, wenn die Mehrheit derjenigen, die ihre Stimme abgegeben haben, jedoch mindestens ein Viertel der Stimmberechtigten, zugestimmt hat.</w:t>
      </w:r>
    </w:p>
    <w:p>
      <w:r>
        <w:t xml:space="preserve">(3) Bei Verfassungsänderungen sowie bei Anträgen auf Auflösung des Landtages müssen zwei Drittel derjenigen, die ihre Stimme abgegeben haben, mindestens jedoch die Hälfte der Stimmberechtigten, für die Verfassungsänderung oder die Auflösung des Landtages gestimmt haben. Es zählen nur die gültigen Ja- und Nein-Stimmen.</w:t>
      </w:r>
    </w:p>
    <w:p>
      <w:r>
        <w:rPr>
          <w:color w:val="555555"/>
          <w:sz w:val="17"/>
        </w:rPr>
        <w:t xml:space="preserve">Zitiervorschlag: Art 78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