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70 ID212792 (Brandenburg) — (Ausschüsse)</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Landtag bildet Ausschüsse aus seiner Mitte.</w:t>
      </w:r>
    </w:p>
    <w:p>
      <w:r>
        <w:t xml:space="preserve">(2) Die Zusammensetzung der Ausschüsse sowie die Regelung der Vorsitze in den Ausschüssen ist nach den Grundsätzen der Verhältniswahl vorzunehmen. Jede Fraktion hat das Recht, mit mindestens einem Mitglied in jedem Ausschuss vertreten zu sein. Fraktionslose Abgeordnete haben das Recht, in einem Ausschuss mit Stimmrecht mitzuarbeiten.</w:t>
      </w:r>
    </w:p>
    <w:p>
      <w:r>
        <w:t xml:space="preserve">(3) Die Ausschüsse werden im Rahmen der ihnen vom Landtag erteilten Aufträge tätig. Innerhalb ihres Aufgabenbereiches können sie sich auch aus eigener Initiative mit einer Sache befassen und dem Landtag Empfehlungen unterbreiten.</w:t>
      </w:r>
    </w:p>
    <w:p>
      <w:r>
        <w:rPr>
          <w:color w:val="555555"/>
          <w:sz w:val="17"/>
        </w:rPr>
        <w:t xml:space="preserve">Zitiervorschlag: Art 70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https://recht.nulegal.eu/gesetze/ID212792/70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