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ID212792 (Brandenburg) — (Fraktionen)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Fraktionen bestehen aus Mitgliedern des Landtages. Sie wirken mit eigenen Rechten und Pflichten als selbstständige und unabhängige Gliederungen an der Arbeit des Landtages mit, sie sind Adressat der politischen Willensäußerung der Bürgerinnen und Bürger und unterstützen den parlamentarisch-politischen Willensbildungsprozess. Insofern haben sie Anspruch auf angemessene Ausstattung. Die Bildung einer Fraktion nach der Konstituierung des Landtages bedarf dessen Zustimmung. Das Nähere regelt ein Gesetz.</w:t>
      </w:r>
    </w:p>
    <w:p>
      <w:r>
        <w:t xml:space="preserve">(2) Ein Fraktionszwang ist unzulässig.</w:t>
      </w:r>
    </w:p>
    <w:p>
      <w:r>
        <w:rPr>
          <w:color w:val="555555"/>
          <w:sz w:val="17"/>
        </w:rPr>
        <w:t xml:space="preserve">Zitiervorschlag: Art 67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https://recht.nulegal.eu/gesetze/ID212792/67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