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ID212792 (Brandenburg) — (Anwesenheitspflicht und Zutrittsrecht)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Fünftel der anwesenden Mitglieder des Landtages oder ein Drittel der Mitglieder eines Ausschusses kann die Anwesenheit eines jeden Mitgliedes der Landesregierung verlangen.</w:t>
      </w:r>
    </w:p>
    <w:p>
      <w:r>
        <w:t xml:space="preserve">(2) Die Mitglieder der Landesregierung und ihre Beauftragten haben zu den Sitzungen des Landtages und seiner Ausschüsse Zutritt. Mitglieder der Landesregierung haben Rederecht. Das Nähere regelt die Geschäftsordnung.</w:t>
      </w:r>
    </w:p>
    <w:p>
      <w:r>
        <w:t xml:space="preserve">(3) Absatz 2 gilt nicht für Untersuchungsausschüsse.</w:t>
      </w:r>
    </w:p>
    <w:p>
      <w:r>
        <w:rPr>
          <w:color w:val="555555"/>
          <w:sz w:val="17"/>
        </w:rPr>
        <w:t xml:space="preserve">Zitiervorschlag: Art 66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https://recht.nulegal.eu/gesetze/ID212792/66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