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56 ID212792 (Brandenburg) — (Freies Mandat der Abgeordneten)</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Abgeordneten sind Vertreterinnen und Vertreter des ganzen Volkes und an Aufträge und Weisungen nicht gebunden. Eine Abgeordnete oder ein Abgeordneter darf nicht gezwungen werden, gegen das eigene Gewissen oder die eigene Überzeugung zu handeln.</w:t>
      </w:r>
    </w:p>
    <w:p>
      <w:r>
        <w:t xml:space="preserve">(2) Die Abgeordneten haben insbesondere das Recht, im Landtag und seinen Ausschüssen das Wort zu ergreifen, Fragen und Anträge zu stellen sowie bei Wahlen und Beschlüssen ihre Stimme abzugeben. Fragen an die Landesregierung sind unverzüglich nach bestem Wissen und vollständig zu beantworten. Das Nähere regelt die Geschäftsordnung.</w:t>
      </w:r>
    </w:p>
    <w:p>
      <w:r>
        <w:t xml:space="preserve">(3) Den Abgeordneten ist Zugang zu den Behörden und Dienststellen des Landes zu gewähren. Diese haben ihnen auf Verlangen Auskünfte auch aus Dateien zu erteilen sowie Akten und sonstige amtliche Unterlagen vorzulegen. Das Verlangen ist an die Landesregierung oder, sofern es ihn betrifft, an den Landesrechnungshof zu richten. Die Auskunft sowie die Vorlage der Akten und sonstigen amtlichen Unterlagen haben unverzüglich und vollständig zu erfolgen.</w:t>
      </w:r>
    </w:p>
    <w:p>
      <w:r>
        <w:t xml:space="preserve">(4) Die Erteilung von Auskünften oder die Vorlage von Akten und sonstigen amtlichen Unterlagen darf nur abgelehnt werden, wenn überwiegende öffentliche oder private Interessen an der Geheimhaltung dies zwingend erfordern. Die Entscheidung ist dem Mitglied des Landtages mitzuteilen und zu begründen.</w:t>
      </w:r>
    </w:p>
    <w:p>
      <w:r>
        <w:rPr>
          <w:color w:val="555555"/>
          <w:sz w:val="17"/>
        </w:rPr>
        <w:t xml:space="preserve">Zitiervorschlag: Art 56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https://recht.nulegal.eu/gesetze/ID212792/56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