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ID212792 (Brandenburg) — (Strafvollzug)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Strafvollzug ist die Würde des Menschen zu achten; er muss darauf ausgerichtet sein, die Strafgefangenen zu befähigen, künftig in sozialer Verantwortung ein Leben ohne Straftaten zu führen.</w:t>
      </w:r>
    </w:p>
    <w:p>
      <w:r>
        <w:t xml:space="preserve">(2) Entlassene Strafgefangene haben nach Maßgabe der Gesetze einen Anspruch auf Hilfe zur Wiedereingliederung.</w:t>
      </w:r>
    </w:p>
    <w:p>
      <w:r>
        <w:rPr>
          <w:color w:val="555555"/>
          <w:sz w:val="17"/>
        </w:rPr>
        <w:t xml:space="preserve">Zitiervorschlag: Art 54 ID212792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https://recht.nulegal.eu/gesetze/ID212792/54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