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53 ID212792 (Brandenburg) — (Grundrechte im Strafverfahren)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Tat kann nur bestraft werden, wenn die Strafbarkeit gesetzlich bestimmt war, bevor die Tat begangen wurde.</w:t>
      </w:r>
    </w:p>
    <w:p>
      <w:r>
        <w:t xml:space="preserve">(2) Jede wegen einer Straftat beschuldigte oder angeklagte Person ist so lange als unschuldig anzusehen, bis sie rechtskräftig verurteilt ist.</w:t>
      </w:r>
    </w:p>
    <w:p>
      <w:r>
        <w:t xml:space="preserve">(3) Niemand darf wegen derselben Tat aufgrund der allgemeinen Strafgesetze mehrmals bestraft werden.</w:t>
      </w:r>
    </w:p>
    <w:p>
      <w:r>
        <w:t xml:space="preserve">(4) Eine beschuldigte Person kann sich in jeder Lage des Verfahrens des Beistandes einer Verteidigerin oder eines Verteidigers bedienen.</w:t>
      </w:r>
    </w:p>
    <w:p>
      <w:r>
        <w:rPr>
          <w:color w:val="555555"/>
          <w:sz w:val="17"/>
        </w:rPr>
        <w:t xml:space="preserve">Zitiervorschlag: Art 53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https://recht.nulegal.eu/gesetze/ID212792/53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