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52 ID212792 (Brandenburg) — (Grundrechte vor Gericht)</w:t>
      </w:r>
    </w:p>
    <w:p>
      <w:r>
        <w:rPr>
          <w:color w:val="555555"/>
          <w:sz w:val="18"/>
        </w:rPr>
        <w:t xml:space="preserve">Verfassung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Ausnahmegerichte sind unzulässig. Keine Person darf ihrer gesetzlichen Richterin oder ihrem gesetzlichen Richter entzogen werden.</w:t>
      </w:r>
    </w:p>
    <w:p>
      <w:r>
        <w:t xml:space="preserve">(2) Gerichte für besondere Sachgebiete können nur durch Gesetz errichtet werden.</w:t>
      </w:r>
    </w:p>
    <w:p>
      <w:r>
        <w:t xml:space="preserve">(3) Alle Menschen sind vor Gericht gleich und haben Anspruch auf rechtliches Gehör.</w:t>
      </w:r>
    </w:p>
    <w:p>
      <w:r>
        <w:t xml:space="preserve">(4) Jede Person hat Anspruch auf ein faires und zügiges Verfahren vor einem unabhängigen und unparteiischen Gericht. Die Öffentlichkeit darf nur nach Maßgabe des Gesetzes ausgeschlossen werden.</w:t>
      </w:r>
    </w:p>
    <w:p>
      <w:r>
        <w:t xml:space="preserve">(5) Kein Mensch darf gezwungen werden, gegen sich selbst oder durch Gesetz bestimmte nahestehende Personen auszusagen.</w:t>
      </w:r>
    </w:p>
    <w:p>
      <w:r>
        <w:rPr>
          <w:color w:val="555555"/>
          <w:sz w:val="17"/>
        </w:rPr>
        <w:t xml:space="preserve">Zitiervorschlag: Art 52 ID212792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https://recht.nulegal.eu/gesetze/ID212792/52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