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ID212792 (Brandenburg) — (Berufsfreiheit)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 Person hat das Recht, ihren Beruf frei zu wählen und auszuüben. In diese Freiheit darf nur durch Gesetz oder aufgrund eines Gesetzes eingegriffen werden.</w:t>
      </w:r>
    </w:p>
    <w:p>
      <w:r>
        <w:t xml:space="preserve">(2) Öffentliche, für alle gleiche Arbeits- und Dienstpflichten sind nur für besondere, durch Gesetz festgelegte Zwecke zulässig.</w:t>
      </w:r>
    </w:p>
    <w:p>
      <w:r>
        <w:rPr>
          <w:color w:val="555555"/>
          <w:sz w:val="17"/>
        </w:rPr>
        <w:t xml:space="preserve">Zitiervorschlag: Art 49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