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47 ID212792 (Brandenburg) — (Wohnung)</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Land ist verpflichtet, im Rahmen seiner Kräfte für die Verwirklichung des Rechts auf eine angemessene Wohnung zu sorgen, insbesondere durch Förderung von Wohneigentum, durch Maßnahmen des sozialen Wohnungsbaus, durch Mieterschutz und Mietzuschüsse.</w:t>
      </w:r>
    </w:p>
    <w:p>
      <w:r>
        <w:t xml:space="preserve">(2) Die Räumung einer Wohnung darf nur vollzogen werden, wenn Ersatzwohnraum zur Verfügung steht. Bei einer Abwägung der Interessen ist die Bedeutung der Wohnung für die Führung eines menschenwürdigen Lebens besonders zu berücksichtigen.</w:t>
      </w:r>
    </w:p>
    <w:p>
      <w:r>
        <w:rPr>
          <w:color w:val="555555"/>
          <w:sz w:val="17"/>
        </w:rPr>
        <w:t xml:space="preserve">Zitiervorschlag: Art 47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https://recht.nulegal.eu/gesetze/ID212792/47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