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ID212792 (Brandenburg) — (Soziale Sicherung)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ist verpflichtet, im Rahmen seiner Kräfte für die Verwirklichung des Rechts auf soziale Sicherung bei Krankheit, Unfall, Invalidität, Behinderung, Pflegebedürftigkeit und im Alter zu sorgen. Soziale Sicherung soll eine menschenwürdige und eigenverantwortliche Lebensgestaltung ermöglichen.</w:t>
      </w:r>
    </w:p>
    <w:p>
      <w:r>
        <w:t xml:space="preserve">(2) In Notlagen, die ein menschenwürdiges Leben nicht ermöglichen und die durch eigene Kräfte und Mittel nicht behoben werden können, besteht ein Anspruch auf Sozialhilfe.</w:t>
      </w:r>
    </w:p>
    <w:p>
      <w:r>
        <w:t xml:space="preserve">(3) Errichtung und Unterhaltung von Einrichtungen für die Beratung, Betreuung und Pflege im Alter, bei Krankheit, Behinderung, Invalidität und Pflegebedürftigkeit sowie für andere soziale und karitative Zwecke sind staatlich zu fördern, unabhängig von ihrer Trägerschaft. In Heimen stehen den Bewohnerinnen und Bewohnern Mitentscheidungsrechte zu.</w:t>
      </w:r>
    </w:p>
    <w:p>
      <w:r>
        <w:rPr>
          <w:color w:val="555555"/>
          <w:sz w:val="17"/>
        </w:rPr>
        <w:t xml:space="preserve">Zitiervorschlag: Art 45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