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ID212792 (Brandenburg) — (Land- und Forstwirtschaft)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Nutzung des Bodens durch die Land- und Forstwirtschaft muss auf Standortgerechtigkeit, Stabilität der Ertragsfähigkeit und ökologische Verträglichkeit ausgerichtet werden.</w:t>
      </w:r>
    </w:p>
    <w:p>
      <w:r>
        <w:t xml:space="preserve">(2) Das Land fördert insbesondere den Beitrag der Land- und Forstwirtschaft zur Pflege der Kulturlandschaft, zur Erhaltung des ländlichen Raumes und zum Schutz der natürlichen Umwelt.</w:t>
      </w:r>
    </w:p>
    <w:p>
      <w:r>
        <w:rPr>
          <w:color w:val="555555"/>
          <w:sz w:val="17"/>
        </w:rPr>
        <w:t xml:space="preserve">Zitiervorschlag: Art 43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https://recht.nulegal.eu/gesetze/ID212792/43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