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ID212792 (Brandenburg) — (Eigentum und Erbrecht)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Eigentum und Erbrecht werden gewährleistet. Inhalt und Schranken werden durch die Gesetze bestimmt.</w:t>
      </w:r>
    </w:p>
    <w:p>
      <w:r>
        <w:t xml:space="preserve">(2) Eigentum verpflichtet. Sein Gebrauch hat zugleich dem Wohle der Allgemeinheit zu dienen.</w:t>
      </w:r>
    </w:p>
    <w:p>
      <w:r>
        <w:t xml:space="preserve">(3) Das Land fördert eine breite Streuung des Eigentums, insbesondere die Vermögensbildung von Arbeitnehmerinnen und Arbeitnehmern durch Beteiligung am Produktiveigentum.</w:t>
      </w:r>
    </w:p>
    <w:p>
      <w:r>
        <w:t xml:space="preserve">(4) Eine Enteignung ist nur zum Wohle der Allgemeinheit zulässig. Sie darf nur durch Gesetz oder aufgrund eines Gesetzes erfolgen, das Art und Ausmaß der Entschädigung regelt. Die Entschädigung ist unter gerechter Abwägung der Interessen der Allgemeinheit und der Beteiligten zu bestimmen.</w:t>
      </w:r>
    </w:p>
    <w:p>
      <w:r>
        <w:t xml:space="preserve">(5) Grund und Boden, Naturschätze und Produktionsmittel können durch ein Gesetz, das Art und Ausmaß der Entschädigung regelt, in Gemeineigentum oder in andere Eigentumsformen zum Wohle der Allgemeinheit überführt werden. Für die Entschädigung gilt Absatz 4 Satz 3 entsprechend.</w:t>
      </w:r>
    </w:p>
    <w:p>
      <w:r>
        <w:rPr>
          <w:color w:val="555555"/>
          <w:sz w:val="17"/>
        </w:rPr>
        <w:t xml:space="preserve">Zitiervorschlag: Art 41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