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40 ID212792 (Brandenburg) — (Grund und Boden)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Nutzung des Bodens und der Gewässer ist in besonderem Maße den Interessen der Allgemeinheit und künftiger Generationen verpflichtet. Ihre Verkehrsfähigkeit kann durch Gesetz beschränkt werden. Grund und Boden, der dem Lande gehört, darf nur nach Maßgabe eines Gesetzes veräußert werden. Seine Nutzung ist vorzugsweise über Pacht und Erbbaurecht zu regeln.</w:t>
      </w:r>
    </w:p>
    <w:p>
      <w:r>
        <w:t xml:space="preserve">(2) Der Abbau von Bodenschätzen bedarf der staatlichen Genehmigung. Dabei ist dem öffentlichen Interesse an der schonenden Nutzung des Bodens besonderes Gewicht beizumessen.</w:t>
      </w:r>
    </w:p>
    <w:p>
      <w:r>
        <w:t xml:space="preserve">(3) Land, Gemeinden und Gemeindeverbände sind verpflichtet, der Allgemeinheit den Zugang zur Natur, insbesondere zu Bergen, Wäldern, Seen und Flüssen, unter Beachtung der Grundsätze für den Schutz der natürlichen Umwelt freizuhalten und gegebenenfalls zu eröffnen.</w:t>
      </w:r>
    </w:p>
    <w:p>
      <w:r>
        <w:t xml:space="preserve">(4) Die Einrichtung und Erhaltung von Nationalparks, Natur- und Landschaftsschutzgebieten sind zu fördern. Naturdenkmale stehen unter öffentlichem Schutz. Das Nähere regelt ein Gesetz.</w:t>
      </w:r>
    </w:p>
    <w:p>
      <w:r>
        <w:t xml:space="preserve">(5) Das Land wirkt darauf hin, dass militärisch genutzte Liegenschaften verstärkt einer zivilen Nutzung zugeführt werden.</w:t>
      </w:r>
    </w:p>
    <w:p>
      <w:r>
        <w:rPr>
          <w:color w:val="555555"/>
          <w:sz w:val="17"/>
        </w:rPr>
        <w:t xml:space="preserve">Zitiervorschlag: Art 40 ID212792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