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39 ID212792 (Brandenburg) — (Schutz der natürlichen Lebensgrundlagen)</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Schutz der Natur, der Umwelt und der gewachsenen Kulturlandschaft als Grundlage gegenwärtigen und künftigen Lebens ist Pflicht des Landes und aller Menschen.</w:t>
      </w:r>
    </w:p>
    <w:p>
      <w:r>
        <w:t xml:space="preserve">(2) Jede Person hat das Recht auf Schutz ihrer Unversehrtheit vor Verletzungen und unzumutbaren Gefährdungen, die aus Veränderungen der natürlichen Lebensgrundlagen entstehen.</w:t>
      </w:r>
    </w:p>
    <w:p>
      <w:r>
        <w:t xml:space="preserve">(3) Tier und Pflanze werden als Lebewesen geachtet. Art und artgerechter Lebensraum sind zu erhalten und zu schützen.</w:t>
      </w:r>
    </w:p>
    <w:p>
      <w:r>
        <w:t xml:space="preserve">(4) Die staatliche Umweltpolitik hat auf den sparsamen Gebrauch und die Wiederverwendung von Rohstoffen sowie auf die sparsame Nutzung von Energie hinzuwirken.</w:t>
      </w:r>
    </w:p>
    <w:p>
      <w:r>
        <w:t xml:space="preserve">(5) Land, Gemeinden, Gemeindeverbände und sonstige Körperschaften des öffentlichen Rechts haben die Pflicht, die Umwelt vor Schäden oder Belastungen zu bewahren und dafür Sorge zu tragen, dass Umweltschäden beseitigt oder ausgeglichen werden. Öffentliche und private Vorhaben bedürfen nach Maßgabe der Gesetze des Nachweises ihrer Umweltverträglichkeit. Eigentum kann eingeschränkt werden, wenn durch seinen Gebrauch rechtswidrig die Umwelt schwer geschädigt oder gefährdet wird.</w:t>
      </w:r>
    </w:p>
    <w:p>
      <w:r>
        <w:t xml:space="preserve">(6) Die Entsorgung von Abfällen, die nicht im Gebiet des Landes entstanden sind, ist unter Berücksichtigung der Besonderheiten Berlins nur in Ausnahmefällen zulässig und auszuschließen, sofern sie nach ihrer Beschaffenheit in besonderem Maße gesundheits- oder umweltgefährdend sind. Das Nähere regelt ein Gesetz.</w:t>
      </w:r>
    </w:p>
    <w:p>
      <w:r>
        <w:t xml:space="preserve">(7) Das Land, die Gemeinden und Gemeindeverbände sind verpflichtet, Informationen über gegenwärtige und zu erwartende Belastungen der natürlichen Umwelt zu erheben und zu dokumentieren; Eigentümerinnen und Eigentümer und Betreiberinnen und Betreiber von Anlagen haben eine entsprechende Offenbarungspflicht. Jede Person hat das Recht auf diese Informationen, soweit nicht überwiegende öffentliche oder private Interessen entgegenstehen. Das Nähere regelt ein Gesetz.</w:t>
      </w:r>
    </w:p>
    <w:p>
      <w:r>
        <w:t xml:space="preserve">(8) Die Verbandsklage ist zulässig. Anerkannte Umweltverbände haben das Recht auf Beteiligung an Verwaltungsverfahren, die die natürlichen Lebensgrundlagen betreffen. Das Nähere regelt ein Gesetz.</w:t>
      </w:r>
    </w:p>
    <w:p>
      <w:r>
        <w:t xml:space="preserve">(9) Das Land wirkt darauf hin, dass auf dem Landesgebiet keine atomaren, biologischen oder chemischen Waffen entwickelt, hergestellt oder gelagert werden.</w:t>
      </w:r>
    </w:p>
    <w:p>
      <w:r>
        <w:rPr>
          <w:color w:val="555555"/>
          <w:sz w:val="17"/>
        </w:rPr>
        <w:t xml:space="preserve">Zitiervorschlag: Art 39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