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ID212792 (Brandenburg) — (Kunst und Kultur)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Kunst ist frei. Sie bedarf der öffentlichen Förderung, insbesondere durch Unterstützung der Künstlerinnen und Künstler.</w:t>
      </w:r>
    </w:p>
    <w:p>
      <w:r>
        <w:t xml:space="preserve">(2) Das kulturelle Leben in seiner Vielfalt und die Vermittlung des kulturellen Erbes werden öffentlich gefördert. Kunstwerke und Denkmale der Kultur stehen unter dem Schutz des Landes, der Gemeinden und Gemeindeverbände.</w:t>
      </w:r>
    </w:p>
    <w:p>
      <w:r>
        <w:t xml:space="preserve">(3) Das Land, die Gemeinden und Gemeindeverbände unterstützen die Teilnahme am kulturellen Leben und ermöglichen den Zugang zu den Kulturgütern.</w:t>
      </w:r>
    </w:p>
    <w:p>
      <w:r>
        <w:t xml:space="preserve">(4) Das Land schützt und fördert die Pflege der niederdeutschen Sprache.</w:t>
      </w:r>
    </w:p>
    <w:p>
      <w:r>
        <w:rPr>
          <w:color w:val="555555"/>
          <w:sz w:val="17"/>
        </w:rPr>
        <w:t xml:space="preserve">Zitiervorschlag: Art 34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