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ID212792 (Brandenburg) — (Weiterbildung)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Weiterbildung von Erwachsenen ist durch das Land, die Gemeinden und Gemeindeverbände zu fördern. Das Recht auf Errichtung von Weiterbildungseinrichtungen in freier Trägerschaft ist gewährleistet.</w:t>
      </w:r>
    </w:p>
    <w:p>
      <w:r>
        <w:t xml:space="preserve">(2) Jede Person hat das Recht auf Freistellung zur beruflichen, kulturellen oder politischen Weiterbildung. Das Nähere regelt ein Gesetz.</w:t>
      </w:r>
    </w:p>
    <w:p>
      <w:r>
        <w:rPr>
          <w:color w:val="555555"/>
          <w:sz w:val="17"/>
        </w:rPr>
        <w:t xml:space="preserve">Zitiervorschlag: Art 33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