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ID212792 (Brandenburg) — (Wissenschaftsfreiheit)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Wissenschaft, Forschung und Lehre sind frei.</w:t>
      </w:r>
    </w:p>
    <w:p>
      <w:r>
        <w:t xml:space="preserve">(2) Forschungen unterliegen gesetzlichen Beschränkungen, wenn sie geeignet sind, die Menschenwürde zu verletzen oder die natürlichen Lebensgrundlagen zu zerstören.</w:t>
      </w:r>
    </w:p>
    <w:p>
      <w:r>
        <w:t xml:space="preserve">(3) Die Freiheit der Lehre entbindet nicht von der Treue zur Verfassung.</w:t>
      </w:r>
    </w:p>
    <w:p>
      <w:r>
        <w:rPr>
          <w:color w:val="555555"/>
          <w:sz w:val="17"/>
        </w:rPr>
        <w:t xml:space="preserve">Zitiervorschlag: Art 31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