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30 ID212792 (Brandenburg) — (Schulwesen)</w:t>
      </w:r>
    </w:p>
    <w:p>
      <w:r>
        <w:rPr>
          <w:color w:val="555555"/>
          <w:sz w:val="18"/>
        </w:rPr>
        <w:t xml:space="preserve">Verfassung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Es besteht allgemeine Schulpflicht.</w:t>
      </w:r>
    </w:p>
    <w:p>
      <w:r>
        <w:t xml:space="preserve">(2) Das Schulwesen steht unter der Aufsicht des Landes. Bei der Gestaltung wirken Eltern, Lehrkräfte, Schülerinnen und Schüler sowie ihre Vertretungen und Verbände mit.</w:t>
      </w:r>
    </w:p>
    <w:p>
      <w:r>
        <w:t xml:space="preserve">(3) Das Schulwesen muss Offenheit, Durchlässigkeit und Vielfalt der Bildungsgänge gewährleisten.</w:t>
      </w:r>
    </w:p>
    <w:p>
      <w:r>
        <w:t xml:space="preserve">(4) Für die Aufnahme in weiterführende Schulen sind neben dem Wunsch der Erziehungsberechtigten Fähigkeiten, Leistungen und Neigungen der Schülerin oder des Schülers maßgebend.</w:t>
      </w:r>
    </w:p>
    <w:p>
      <w:r>
        <w:t xml:space="preserve">(5) Das Land und die Träger kommunaler Selbstverwaltung haben die Pflicht, Schulen einzurichten und zu fördern. Für diese Schulen besteht Schulgeldfreiheit. Lern- und Lehrmittelfreiheit sind durch Gesetz zu regeln.</w:t>
      </w:r>
    </w:p>
    <w:p>
      <w:r>
        <w:t xml:space="preserve">(6) Das Recht zur Errichtung von Schulen in freier Trägerschaft wird nach Maßgabe von Artikel 7 Absatz 4 des Grundgesetzes gewährleistet. Die Träger haben Anspruch auf einen öffentlichen Finanzierungszuschuss.</w:t>
      </w:r>
    </w:p>
    <w:p>
      <w:r>
        <w:rPr>
          <w:color w:val="555555"/>
          <w:sz w:val="17"/>
        </w:rPr>
        <w:t xml:space="preserve">Zitiervorschlag: Art 30 ID212792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https://recht.nulegal.eu/gesetze/ID212792/30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