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ID212792 (Brandenburg) — (Staatsvolk)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Bürgerinnen und Bürger im Sinne dieser Verfassung sind alle Deutschen im Sinne des Artikels 116 Absatz 1 des Grundgesetzes mit ständigem Wohnsitz im Land Brandenburg. Einwohnerinnen und Einwohner im Sinne dieser Verfassung sind alle Personen mit ständigem Wohnsitz im Land Brandenburg, unabhängig von der Staatsangehörigkeit.</w:t>
      </w:r>
    </w:p>
    <w:p>
      <w:r>
        <w:t xml:space="preserve">(2) Deutsche im Sinne des Grundgesetzes haben in Brandenburg gleiche Rechte und Pflichten, soweit nicht ein gesetzlicher Vorbehalt für die Bürgerinnen und Bürger Brandenburgs besteht.</w:t>
      </w:r>
    </w:p>
    <w:p>
      <w:r>
        <w:t xml:space="preserve">(3) Angehörige anderer Staaten und Staatenlose mit Wohnsitz im Land Brandenburg sind den Deutschen im Sinne des Grundgesetzes gleichgestellt, soweit nicht diese Verfassung oder Gesetze etwas anderes bestimmen.</w:t>
      </w:r>
    </w:p>
    <w:p>
      <w:r>
        <w:rPr>
          <w:color w:val="555555"/>
          <w:sz w:val="17"/>
        </w:rPr>
        <w:t xml:space="preserve">Zitiervorschlag: Art 3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