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ID212792 (Brandenburg) — (Recht auf Bildung)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Jeder Mensch hat das Recht auf Bildung.</w:t>
      </w:r>
    </w:p>
    <w:p>
      <w:r>
        <w:t xml:space="preserve">(2) Das Land ist verpflichtet, öffentliche Bildungseinrichtungen zu schaffen und berufliche Ausbildungssysteme zu fördern.</w:t>
      </w:r>
    </w:p>
    <w:p>
      <w:r>
        <w:t xml:space="preserve">(3) Jeder Mensch hat das Recht auf gleichen Zugang zu den öffentlichen Bildungseinrichtungen, unabhängig von seiner wirtschaftlichen und sozialen Lage und seiner politischen Überzeugung. Begabte, sozial Benachteiligte und Menschen mit Behinderungen sind besonders zu fördern.</w:t>
      </w:r>
    </w:p>
    <w:p>
      <w:r>
        <w:rPr>
          <w:color w:val="555555"/>
          <w:sz w:val="17"/>
        </w:rPr>
        <w:t xml:space="preserve">Zitiervorschlag: Art 29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