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ID212792 (Brandenburg) — (Ehe, Familie und Lebensgemeinschaften)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Ehe und Familie sind durch das Gemeinwesen zu schützen und zu fördern. Besondere Fürsorge wird Müttern, Alleinerziehenden und kinderreichen Familien sowie Familien mit behinderten Angehörigen zuteil.</w:t>
      </w:r>
    </w:p>
    <w:p>
      <w:r>
        <w:t xml:space="preserve">(2) Die Schutzbedürftigkeit anderer auf Dauer angelegter Lebensgemeinschaften wird anerkannt.</w:t>
      </w:r>
    </w:p>
    <w:p>
      <w:r>
        <w:t xml:space="preserve">(3) Wer in Ehe, Familie oder einer anderen Lebensgemeinschaft psychische oder physische Gewalt erleidet, hat Anspruch auf Hilfe und Schutz des Gemeinwesens.</w:t>
      </w:r>
    </w:p>
    <w:p>
      <w:r>
        <w:t xml:space="preserve">(4) Die Hausarbeit, die Erziehung der Kinder, die häusliche Pflege Bedürftiger und die Berufsarbeit werden gleichgeachtet.</w:t>
      </w:r>
    </w:p>
    <w:p>
      <w:r>
        <w:rPr>
          <w:color w:val="555555"/>
          <w:sz w:val="17"/>
        </w:rPr>
        <w:t xml:space="preserve">Zitiervorschlag: Art 26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