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ID212792 (Brandenburg) — (Wahlen und Volksabstimmungen)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Bürgerin und jeder Bürger hat nach Vollendung des sechzehnten Lebensjahres das Recht, zum Landtag und zu den kommunalen Vertretungskörperschaften zu wählen, und nach Vollendung des achtzehnten Lebensjahres das Recht, in diese gewählt zu werden. Anderen Einwohnerinnen und Einwohnern Brandenburgs sind diese Rechte zu gewähren, sobald und soweit das Grundgesetz dies zulässt.</w:t>
      </w:r>
    </w:p>
    <w:p>
      <w:r>
        <w:t xml:space="preserve">(2) Jede Bürgerin und jeder Bürger hat mit Vollendung des sechzehnten Lebensjahres das Recht, sich an Volksinitiativen, Volksbegehren und Volksentscheiden sowie an Einwohneranträgen, Bürgerbegehren und Bürgerentscheiden zu beteiligen. Andere Einwohnerinnen und Einwohner haben das Recht, sich an Volksinitiativen und Einwohneranträgen zu beteiligen; das Recht, sich an Volksbegehren und Volksentscheiden sowie an Bürgerbegehren und Bürgerentscheiden zu beteiligen, ist ihnen zu gewähren, sobald und soweit das Grundgesetz dies zulässt.</w:t>
      </w:r>
    </w:p>
    <w:p>
      <w:r>
        <w:t xml:space="preserve">(3) Wahlen und Volksabstimmungen sind allgemein, unmittelbar, gleich, frei und geheim. Zur Teilnahme an Wahlen sind Parteien, politische Vereinigungen, Listenvereinigungen und einzelne Bürgerinnen und Bürger berechtigt. Die Abgeordneten werden nach einem Verfahren gewählt, das die Persönlichkeitswahl mit den Grundsätzen der Verhältniswahl verbindet. Wahlprüfung und Abstimmungsprüfung stehen den Volksvertretungen für das jeweilige Wahlgebiet zu. Für die Abstimmungsprüfung des Volksentscheides nach Artikel 116 Absatz 1 gelten die mit dem Land Berlin vereinbarten abweichenden Regelungen im Staatsvertrag zur Regelung der Volksabstimmungen in den Ländern Berlin und Brandenburg über den Neugliederungs-Vertrag. Die Entscheidungen unterliegen der gerichtlichen Nachprüfung.</w:t>
      </w:r>
    </w:p>
    <w:p>
      <w:r>
        <w:t xml:space="preserve">(4) Wer sich um einen Sitz in einer Volksvertretung bewirbt, hat Anspruch auf eine zur Vorbereitung der Wahl erforderliche Freistellung. Niemand darf gehindert werden, das Abgeordnetenmandat anzustreben, zu übernehmen und auszuüben. Eine Kündigung oder Entlassung ist nur zulässig, wenn Tatsachen vorliegen, die die Arbeitgeberin oder den Arbeitgeber zur fristlosen Kündigung berechtigen.</w:t>
      </w:r>
    </w:p>
    <w:p>
      <w:r>
        <w:t xml:space="preserve">(5) Das Nähere regelt ein Gesetz. Das Gesetz kann insbesondere vorsehen, dass die in den Absätzen 1 bis 4 genannten Rechte nur innehat, wer bereits für eine bestimmte Dauer Bürgerin oder Bürger oder Einwohnerin oder Einwohner im Wahl- oder Abstimmungsgebiet ist. Das Gesetz kann auch vorsehen, dass Beamtinnen und Beamte, Angestellte des öffentlichen Dienstes sowie Richterinnen und Richter nicht zugleich Mitglied im Landtag oder in kommunalen Vertretungskörperschaften sein können.</w:t>
      </w:r>
    </w:p>
    <w:p>
      <w:r>
        <w:rPr>
          <w:color w:val="555555"/>
          <w:sz w:val="17"/>
        </w:rPr>
        <w:t xml:space="preserve">Zitiervorschlag: Art 22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