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ID212792 (Brandenburg) — (Recht auf politische Mitgestaltung)</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Recht auf politische Mitgestaltung ist gewährleistet.</w:t>
      </w:r>
    </w:p>
    <w:p>
      <w:r>
        <w:t xml:space="preserve">(2) Alle Menschen haben nach Maßgabe der Eignung, Befähigung und fachlichen Leistung das gleiche Recht auf Zugang zu öffentlichen Ämtern, soweit nicht für die Wahrnehmung hoheitlicher Befugnisse etwas anderes gesetzlich bestimmt ist. Eine Entlassung oder Disziplinierung wegen einer Betätigung in Bürgerinitiativen, Verbänden, Religionsgemeinschaften oder Parteien ist unzulässig.</w:t>
      </w:r>
    </w:p>
    <w:p>
      <w:r>
        <w:t xml:space="preserve">(3) Alle Menschen haben das Recht, sich in Bürgerinitiativen oder Verbänden zur Beeinflussung öffentlicher Angelegenheiten zusammenzuschließen. Diese haben das Recht auf Information durch alle staatlichen und kommunalen Stellen und auf Vorbringen ihrer Anliegen bei den zuständigen Stellen und Vertretungskörperschaften. Das Nähere regelt ein Gesetz.</w:t>
      </w:r>
    </w:p>
    <w:p>
      <w:r>
        <w:t xml:space="preserve">(4) Jede Person hat nach Maßgabe des Gesetzes das Recht auf Einsicht in Akten und sonstige amtliche Unterlagen der Behörden und Verwaltungseinrichtungen des Landes und der Kommunen, soweit nicht überwiegende öffentliche oder private Interessen entgegenstehen.</w:t>
      </w:r>
    </w:p>
    <w:p>
      <w:r>
        <w:t xml:space="preserve">(5) Wer durch öffentliche oder private Vorhaben in eigenen rechtlich geschützten Interessen betroffen wird, hat das Recht auf Verfahrensbeteiligung. Dieses Recht steht auch Zusammenschlüssen von Betroffenen zu. Das Nähere regelt ein Gesetz.</w:t>
      </w:r>
    </w:p>
    <w:p>
      <w:r>
        <w:rPr>
          <w:color w:val="555555"/>
          <w:sz w:val="17"/>
        </w:rPr>
        <w:t xml:space="preserve">Zitiervorschlag: Art 21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